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5F" w:rsidRDefault="00A46C5F" w:rsidP="00A46C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8CC">
        <w:rPr>
          <w:rFonts w:ascii="Times New Roman" w:hAnsi="Times New Roman" w:cs="Times New Roman"/>
          <w:b/>
          <w:bCs/>
          <w:sz w:val="24"/>
          <w:szCs w:val="24"/>
        </w:rPr>
        <w:t>Serum selenium levels and glutathione peroxidase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868CC">
        <w:rPr>
          <w:rFonts w:ascii="Times New Roman" w:hAnsi="Times New Roman" w:cs="Times New Roman"/>
          <w:b/>
          <w:bCs/>
          <w:sz w:val="24"/>
          <w:szCs w:val="24"/>
        </w:rPr>
        <w:t xml:space="preserve"> activity in infertile women due to idiopathic pr</w:t>
      </w:r>
      <w:r>
        <w:rPr>
          <w:rFonts w:ascii="Times New Roman" w:hAnsi="Times New Roman" w:cs="Times New Roman"/>
          <w:b/>
          <w:bCs/>
          <w:sz w:val="24"/>
          <w:szCs w:val="24"/>
        </w:rPr>
        <w:t>emature</w:t>
      </w:r>
      <w:r w:rsidRPr="003868CC">
        <w:rPr>
          <w:rFonts w:ascii="Times New Roman" w:hAnsi="Times New Roman" w:cs="Times New Roman"/>
          <w:b/>
          <w:bCs/>
          <w:sz w:val="24"/>
          <w:szCs w:val="24"/>
        </w:rPr>
        <w:t xml:space="preserve"> ovarian insufficiency in comparison to healthy fertile women: A case-control study</w:t>
      </w:r>
    </w:p>
    <w:p w:rsidR="00A46C5F" w:rsidRPr="003868CC" w:rsidRDefault="00A46C5F" w:rsidP="00A46C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A46C5F" w:rsidRDefault="00A46C5F" w:rsidP="00A46C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8C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A46C5F" w:rsidRPr="00324D72" w:rsidRDefault="00A46C5F" w:rsidP="00A46C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Background: </w:t>
      </w:r>
      <w:r w:rsidRPr="00324D72">
        <w:rPr>
          <w:rFonts w:ascii="Times New Roman" w:hAnsi="Times New Roman" w:cs="Times New Roman"/>
          <w:sz w:val="24"/>
          <w:szCs w:val="24"/>
        </w:rPr>
        <w:t>Increased oxidative stress in women with pr</w:t>
      </w:r>
      <w:r>
        <w:rPr>
          <w:rFonts w:ascii="Times New Roman" w:hAnsi="Times New Roman" w:cs="Times New Roman"/>
          <w:sz w:val="24"/>
          <w:szCs w:val="24"/>
        </w:rPr>
        <w:t>emature</w:t>
      </w:r>
      <w:r w:rsidRPr="00324D72">
        <w:rPr>
          <w:rFonts w:ascii="Times New Roman" w:hAnsi="Times New Roman" w:cs="Times New Roman"/>
          <w:sz w:val="24"/>
          <w:szCs w:val="24"/>
        </w:rPr>
        <w:t xml:space="preserve"> ovarian insufficiency have been well documented. In the view that glutathione peroxidase enzymes and their co-factor, selenium,</w:t>
      </w:r>
      <w:r w:rsidRPr="00324D7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24D72">
        <w:rPr>
          <w:rFonts w:ascii="Times New Roman" w:hAnsi="Times New Roman" w:cs="Times New Roman"/>
          <w:sz w:val="24"/>
          <w:szCs w:val="24"/>
        </w:rPr>
        <w:t>play a protective role against apoptosis due to oxidative stress, the present study aimed to camper serum selenium levels and glutathione peroxidase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D72">
        <w:rPr>
          <w:rFonts w:ascii="Times New Roman" w:hAnsi="Times New Roman" w:cs="Times New Roman"/>
          <w:sz w:val="24"/>
          <w:szCs w:val="24"/>
        </w:rPr>
        <w:t xml:space="preserve"> activity in infertile women due to idiopathic pr</w:t>
      </w:r>
      <w:r>
        <w:rPr>
          <w:rFonts w:ascii="Times New Roman" w:hAnsi="Times New Roman" w:cs="Times New Roman"/>
          <w:sz w:val="24"/>
          <w:szCs w:val="24"/>
        </w:rPr>
        <w:t>emature</w:t>
      </w:r>
      <w:r w:rsidRPr="00324D72">
        <w:rPr>
          <w:rFonts w:ascii="Times New Roman" w:hAnsi="Times New Roman" w:cs="Times New Roman"/>
          <w:sz w:val="24"/>
          <w:szCs w:val="24"/>
        </w:rPr>
        <w:t xml:space="preserve"> ovarian insufficiency (</w:t>
      </w:r>
      <w:proofErr w:type="spellStart"/>
      <w:r w:rsidRPr="00324D72">
        <w:rPr>
          <w:rFonts w:ascii="Times New Roman" w:hAnsi="Times New Roman" w:cs="Times New Roman"/>
          <w:sz w:val="24"/>
          <w:szCs w:val="24"/>
        </w:rPr>
        <w:t>iPOI</w:t>
      </w:r>
      <w:proofErr w:type="spellEnd"/>
      <w:r w:rsidRPr="00324D72">
        <w:rPr>
          <w:rFonts w:ascii="Times New Roman" w:hAnsi="Times New Roman" w:cs="Times New Roman"/>
          <w:sz w:val="24"/>
          <w:szCs w:val="24"/>
        </w:rPr>
        <w:t>) with fertile healthy women.</w:t>
      </w:r>
    </w:p>
    <w:p w:rsidR="00A46C5F" w:rsidRPr="00324D72" w:rsidRDefault="00A46C5F" w:rsidP="00A46C5F">
      <w:pPr>
        <w:spacing w:line="48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</w:pPr>
      <w:r w:rsidRPr="00400517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Pr="00324D72">
        <w:rPr>
          <w:rFonts w:ascii="Times New Roman" w:hAnsi="Times New Roman" w:cs="Times New Roman"/>
          <w:sz w:val="24"/>
          <w:szCs w:val="24"/>
        </w:rPr>
        <w:t xml:space="preserve">: This case-control study was conducted at Al-Zahra Hospital, affiliated to Tabriz University of Medical Sciences, and </w:t>
      </w:r>
      <w:r w:rsidRPr="00324D72">
        <w:rPr>
          <w:rFonts w:ascii="Times New Roman" w:hAnsi="Times New Roman" w:cs="Times New Roman"/>
          <w:color w:val="000000" w:themeColor="text1"/>
          <w:sz w:val="24"/>
          <w:szCs w:val="24"/>
          <w:lang w:bidi="fa-IR"/>
        </w:rPr>
        <w:t xml:space="preserve">the Academic Center for Education, Culture and Research (ACECR) Infertility Treatment Center between August 2017 and August 2018 in Tabriz, Iran. </w:t>
      </w:r>
      <w:r w:rsidRPr="00324D72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 xml:space="preserve">The iPOI group consisted of 32 infertile women with iPOI (with amenorrhea/oligomenorrhea at least for the last 4 months and FSH&gt;40 mIU/ml) . The control group consisted of 31 age-and BMI- matched healthy fertile women. In the all participants, serum selenium levels were measured by an atomic absorption spectrophotometer, and plasma GPx activity was measured by a </w:t>
      </w:r>
      <w:r w:rsidRPr="00324D72">
        <w:rPr>
          <w:rFonts w:ascii="Times New Roman" w:eastAsia="Times New Roman" w:hAnsi="Times New Roman" w:cs="Times New Roman"/>
          <w:noProof/>
          <w:sz w:val="24"/>
          <w:szCs w:val="24"/>
          <w:lang w:bidi="ar-YE"/>
        </w:rPr>
        <w:t>Glutathione Peroxidase Activity Assay Kit</w:t>
      </w:r>
      <w:r w:rsidRPr="00324D72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r w:rsidRPr="00324D72">
        <w:rPr>
          <w:rFonts w:ascii="Times New Roman" w:eastAsia="Times New Roman" w:hAnsi="Times New Roman" w:cs="Times New Roman"/>
          <w:noProof/>
          <w:sz w:val="24"/>
          <w:szCs w:val="24"/>
          <w:lang w:bidi="ar-YE"/>
        </w:rPr>
        <w:t xml:space="preserve">after about </w:t>
      </w:r>
      <w:r w:rsidRPr="00324D72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 xml:space="preserve">12 hours of fasting. </w:t>
      </w:r>
    </w:p>
    <w:p w:rsidR="00A46C5F" w:rsidRDefault="00A46C5F" w:rsidP="00A46C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324D7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fa-IR"/>
        </w:rPr>
        <w:t>Results</w:t>
      </w:r>
      <w:r w:rsidRPr="00324D72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: There was a significant lower serum selenium levels in the iPOI group compared to the control group</w:t>
      </w:r>
      <w:r w:rsidRPr="00324D72">
        <w:rPr>
          <w:rFonts w:ascii="Times New Roman" w:hAnsi="Times New Roman" w:cs="Times New Roman"/>
          <w:sz w:val="24"/>
          <w:szCs w:val="24"/>
          <w:lang w:bidi="fa-IR"/>
        </w:rPr>
        <w:t xml:space="preserve"> (Adjusted Mean Difference (AMD) =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324D72">
        <w:rPr>
          <w:rFonts w:ascii="Times New Roman" w:hAnsi="Times New Roman" w:cs="Times New Roman"/>
          <w:sz w:val="24"/>
          <w:szCs w:val="24"/>
          <w:lang w:bidi="fa-IR"/>
        </w:rPr>
        <w:t xml:space="preserve">-15.1 µg/ml, 95% CI: -24.8 to -5.3). The plasma </w:t>
      </w:r>
      <w:r w:rsidRPr="00324D72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GPx activity was lower in the iPOI group compared to the control group, although not significantly</w:t>
      </w:r>
      <w:r w:rsidRPr="00324D72">
        <w:rPr>
          <w:rFonts w:ascii="Times New Roman" w:hAnsi="Times New Roman" w:cs="Times New Roman"/>
          <w:sz w:val="24"/>
          <w:szCs w:val="24"/>
          <w:lang w:bidi="fa-IR"/>
        </w:rPr>
        <w:t xml:space="preserve"> (AMD =-67.0 U/ml, 95%CI: -194.5 to 60.3). Both groups had similar selenium dietary intake and in accordance with the recommended dietary allowance (RDA) of 55 µg/day. </w:t>
      </w:r>
    </w:p>
    <w:p w:rsidR="00A46C5F" w:rsidRPr="00997FB6" w:rsidRDefault="00A46C5F" w:rsidP="00A46C5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FB6"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>Conclusion</w:t>
      </w:r>
      <w:r w:rsidRPr="00997FB6">
        <w:rPr>
          <w:rFonts w:ascii="Times New Roman" w:hAnsi="Times New Roman" w:cs="Times New Roman"/>
          <w:sz w:val="24"/>
          <w:szCs w:val="24"/>
          <w:lang w:bidi="fa-I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The present study showed low serum Se levels of women with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iPOI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 and a negative correlation between Se and FSH. The important controversial issue is the possibility of a cause-and-effect relationship between Se concentrations and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iPOI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 in these women. Epidemiological studies are warranted to clarify the issue.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To evaluate the Se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-dependent antioxidant defence capability, as measured by GPxs activity, in iPOI  women  more large-scale studies are required.</w:t>
      </w:r>
    </w:p>
    <w:p w:rsidR="00A46C5F" w:rsidRPr="00997FB6" w:rsidRDefault="00A46C5F" w:rsidP="00A46C5F">
      <w:pPr>
        <w:spacing w:line="48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</w:pPr>
      <w:r w:rsidRPr="00997F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fa-IR"/>
        </w:rPr>
        <w:t>Keywords</w:t>
      </w:r>
      <w:r w:rsidRPr="00997FB6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: Pr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i</w:t>
      </w:r>
      <w:r w:rsidRPr="00997FB6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ma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ry ovarian i</w:t>
      </w:r>
      <w:r w:rsidRPr="00997FB6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nsufficiency, infertility, selenuim, glutathione</w:t>
      </w:r>
      <w:r w:rsidRPr="00997FB6" w:rsidDel="001322BA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>peroxidase,</w:t>
      </w:r>
      <w:r w:rsidRPr="00997FB6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t xml:space="preserve"> antioxidant  </w:t>
      </w:r>
    </w:p>
    <w:p w:rsidR="00A46C5F" w:rsidRPr="003868CC" w:rsidRDefault="00A46C5F" w:rsidP="00A46C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spacing w:line="360" w:lineRule="auto"/>
        <w:rPr>
          <w:rFonts w:ascii="Times New Roman" w:hAnsi="Times New Roman" w:cs="Times New Roman"/>
          <w:sz w:val="26"/>
          <w:szCs w:val="26"/>
          <w:rtl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46C5F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B Nazanin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C9CFD92" wp14:editId="3DB897D1">
            <wp:extent cx="990600" cy="11049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C5F" w:rsidRPr="0060490E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90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Tabriz University of Medical Sciences</w:t>
      </w:r>
    </w:p>
    <w:p w:rsidR="00A46C5F" w:rsidRPr="0060490E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90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Nursing and Midwifery Faculty</w:t>
      </w:r>
    </w:p>
    <w:p w:rsidR="00A46C5F" w:rsidRPr="0060490E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90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Dissertation submitted for Master of sciences in midwifery</w:t>
      </w:r>
    </w:p>
    <w:p w:rsidR="00A46C5F" w:rsidRPr="00457ED5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D5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:rsidR="00A46C5F" w:rsidRDefault="00A46C5F" w:rsidP="00A46C5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ED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7ED5">
        <w:rPr>
          <w:rFonts w:ascii="Times New Roman" w:hAnsi="Times New Roman" w:cs="Times New Roman"/>
          <w:sz w:val="28"/>
          <w:szCs w:val="28"/>
        </w:rPr>
        <w:t>Serum selenium levels and glutathione peroxidases activity in infertile women due to idiopathic premature ovarian insufficiency in comparison to healthy fertile women: A case-control study</w:t>
      </w:r>
    </w:p>
    <w:p w:rsidR="00A46C5F" w:rsidRPr="00457ED5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7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Supervisors:</w:t>
      </w:r>
    </w:p>
    <w:p w:rsidR="00A46C5F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Behnaz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Sadeghzadeh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Osquee</w:t>
      </w:r>
      <w:proofErr w:type="spellEnd"/>
    </w:p>
    <w:p w:rsidR="00A46C5F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Kobra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Hamdi</w:t>
      </w:r>
      <w:proofErr w:type="spellEnd"/>
    </w:p>
    <w:p w:rsidR="00A46C5F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7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Advisers: </w:t>
      </w:r>
    </w:p>
    <w:p w:rsidR="00A46C5F" w:rsidRPr="00457ED5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Azizeh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Farshbaf-KHalili</w:t>
      </w:r>
      <w:proofErr w:type="spellEnd"/>
    </w:p>
    <w:p w:rsidR="00A46C5F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Mojgan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Mirghafourvand</w:t>
      </w:r>
      <w:proofErr w:type="spellEnd"/>
    </w:p>
    <w:p w:rsidR="00A46C5F" w:rsidRPr="00457ED5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7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Author: </w:t>
      </w:r>
    </w:p>
    <w:p w:rsidR="00A46C5F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Mehrangiz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Delkhorrami</w:t>
      </w:r>
      <w:proofErr w:type="spellEnd"/>
    </w:p>
    <w:p w:rsidR="00A46C5F" w:rsidRPr="00457ED5" w:rsidRDefault="00A46C5F" w:rsidP="00A46C5F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7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Date: </w:t>
      </w:r>
    </w:p>
    <w:p w:rsidR="006D0B2D" w:rsidRDefault="00A46C5F" w:rsidP="00A46C5F">
      <w:pPr>
        <w:bidi/>
        <w:spacing w:line="360" w:lineRule="auto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bookmarkStart w:id="0" w:name="_GoBack"/>
      <w:bookmarkEnd w:id="0"/>
    </w:p>
    <w:sectPr w:rsidR="006D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5F"/>
    <w:rsid w:val="006D0B2D"/>
    <w:rsid w:val="00A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9294-DA4A-4B43-A740-A4BCA9B5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2019-11-04T08:33:00Z</dcterms:created>
  <dcterms:modified xsi:type="dcterms:W3CDTF">2019-11-04T08:33:00Z</dcterms:modified>
</cp:coreProperties>
</file>